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92B" w:rsidRPr="00D6292B" w:rsidRDefault="00D6292B" w:rsidP="00D6292B">
      <w:pPr>
        <w:autoSpaceDE w:val="0"/>
        <w:autoSpaceDN w:val="0"/>
        <w:adjustRightInd w:val="0"/>
        <w:spacing w:after="0" w:line="240" w:lineRule="auto"/>
        <w:rPr>
          <w:rFonts w:cs="Arial"/>
          <w:b/>
          <w:szCs w:val="24"/>
        </w:rPr>
      </w:pPr>
      <w:r w:rsidRPr="00D6292B">
        <w:rPr>
          <w:rFonts w:cs="Arial"/>
          <w:b/>
          <w:szCs w:val="24"/>
        </w:rPr>
        <w:t>Pension Fund Administration</w:t>
      </w:r>
      <w:r w:rsidR="00CC684E">
        <w:rPr>
          <w:rFonts w:cs="Arial"/>
          <w:b/>
          <w:szCs w:val="24"/>
        </w:rPr>
        <w:t xml:space="preserve"> </w:t>
      </w:r>
      <w:r w:rsidRPr="00D6292B">
        <w:rPr>
          <w:rFonts w:cs="Arial"/>
          <w:b/>
          <w:szCs w:val="24"/>
        </w:rPr>
        <w:t>Sub-Committee</w:t>
      </w:r>
    </w:p>
    <w:p w:rsidR="00D6292B" w:rsidRPr="00D6292B" w:rsidRDefault="00D6292B" w:rsidP="009D51DF">
      <w:pPr>
        <w:autoSpaceDE w:val="0"/>
        <w:autoSpaceDN w:val="0"/>
        <w:adjustRightInd w:val="0"/>
        <w:spacing w:after="0" w:line="240" w:lineRule="auto"/>
        <w:rPr>
          <w:rFonts w:cs="Arial"/>
          <w:szCs w:val="24"/>
        </w:rPr>
      </w:pPr>
      <w:r w:rsidRPr="00D6292B">
        <w:rPr>
          <w:rFonts w:cs="Arial"/>
          <w:szCs w:val="24"/>
        </w:rPr>
        <w:t xml:space="preserve">Meeting to be held on 6 February 2013 </w:t>
      </w:r>
    </w:p>
    <w:p w:rsidR="005A5B4E" w:rsidRPr="00D6292B" w:rsidRDefault="005A5B4E" w:rsidP="009D51DF">
      <w:pPr>
        <w:spacing w:after="0"/>
        <w:rPr>
          <w:rFonts w:cs="Arial"/>
          <w:szCs w:val="24"/>
        </w:rPr>
      </w:pPr>
    </w:p>
    <w:p w:rsidR="00D6292B" w:rsidRDefault="008D52B8" w:rsidP="009D51DF">
      <w:pPr>
        <w:spacing w:after="0" w:line="240" w:lineRule="auto"/>
        <w:rPr>
          <w:rFonts w:cs="Arial"/>
          <w:b/>
          <w:szCs w:val="24"/>
        </w:rPr>
      </w:pPr>
      <w:r>
        <w:rPr>
          <w:rFonts w:cs="Arial"/>
          <w:b/>
          <w:szCs w:val="24"/>
        </w:rPr>
        <w:t xml:space="preserve">Statutory </w:t>
      </w:r>
      <w:r w:rsidR="001209DC">
        <w:rPr>
          <w:rFonts w:cs="Arial"/>
          <w:b/>
          <w:szCs w:val="24"/>
        </w:rPr>
        <w:t>Consultation on the new Local Government Pension Scheme 2014</w:t>
      </w:r>
      <w:r>
        <w:rPr>
          <w:rFonts w:cs="Arial"/>
          <w:b/>
          <w:szCs w:val="24"/>
        </w:rPr>
        <w:t xml:space="preserve"> and related proposals </w:t>
      </w:r>
      <w:r w:rsidR="001209DC">
        <w:rPr>
          <w:rFonts w:cs="Arial"/>
          <w:b/>
          <w:szCs w:val="24"/>
        </w:rPr>
        <w:t xml:space="preserve"> </w:t>
      </w:r>
    </w:p>
    <w:p w:rsidR="00B52F47" w:rsidRPr="00B52F47" w:rsidRDefault="00B52F47" w:rsidP="009D51DF">
      <w:pPr>
        <w:spacing w:after="0" w:line="240" w:lineRule="auto"/>
        <w:rPr>
          <w:rFonts w:cs="Arial"/>
          <w:szCs w:val="24"/>
        </w:rPr>
      </w:pPr>
      <w:r>
        <w:rPr>
          <w:rFonts w:cs="Arial"/>
          <w:szCs w:val="24"/>
        </w:rPr>
        <w:t>(Appendix 'A' refers)</w:t>
      </w:r>
    </w:p>
    <w:p w:rsidR="009D51DF" w:rsidRPr="00D6292B" w:rsidRDefault="009D51DF" w:rsidP="009D51DF">
      <w:pPr>
        <w:spacing w:after="0" w:line="240" w:lineRule="auto"/>
        <w:rPr>
          <w:rFonts w:cs="Arial"/>
          <w:b/>
          <w:szCs w:val="24"/>
        </w:rPr>
      </w:pPr>
    </w:p>
    <w:p w:rsidR="00D6292B" w:rsidRPr="00D6292B" w:rsidRDefault="00D6292B" w:rsidP="009D51DF">
      <w:pPr>
        <w:autoSpaceDE w:val="0"/>
        <w:autoSpaceDN w:val="0"/>
        <w:adjustRightInd w:val="0"/>
        <w:spacing w:after="0" w:line="240" w:lineRule="auto"/>
        <w:rPr>
          <w:rFonts w:cs="Arial"/>
          <w:szCs w:val="24"/>
        </w:rPr>
      </w:pPr>
      <w:r w:rsidRPr="00D6292B">
        <w:rPr>
          <w:rFonts w:cs="Arial"/>
          <w:szCs w:val="24"/>
        </w:rPr>
        <w:t>Contact for further information:</w:t>
      </w:r>
    </w:p>
    <w:p w:rsidR="00D6292B" w:rsidRPr="00D6292B" w:rsidRDefault="00D6292B" w:rsidP="00D6292B">
      <w:pPr>
        <w:autoSpaceDE w:val="0"/>
        <w:autoSpaceDN w:val="0"/>
        <w:adjustRightInd w:val="0"/>
        <w:spacing w:after="0" w:line="240" w:lineRule="auto"/>
        <w:rPr>
          <w:rFonts w:cs="Arial"/>
          <w:szCs w:val="24"/>
        </w:rPr>
      </w:pPr>
      <w:r w:rsidRPr="00D6292B">
        <w:rPr>
          <w:rFonts w:cs="Arial"/>
          <w:szCs w:val="24"/>
        </w:rPr>
        <w:t xml:space="preserve">Diane Lister, 01772 534827, </w:t>
      </w:r>
      <w:r w:rsidR="004B6DFC">
        <w:rPr>
          <w:rFonts w:cs="Arial"/>
          <w:szCs w:val="24"/>
        </w:rPr>
        <w:t>One Connect Ltd.</w:t>
      </w:r>
    </w:p>
    <w:p w:rsidR="00D6292B" w:rsidRDefault="00DF3392" w:rsidP="00D6292B">
      <w:pPr>
        <w:rPr>
          <w:rFonts w:cs="Arial"/>
          <w:szCs w:val="24"/>
        </w:rPr>
      </w:pPr>
      <w:hyperlink r:id="rId7" w:history="1">
        <w:r w:rsidR="00052001" w:rsidRPr="00EB525F">
          <w:rPr>
            <w:rStyle w:val="Hyperlink"/>
            <w:rFonts w:cs="Arial"/>
            <w:szCs w:val="24"/>
          </w:rPr>
          <w:t>diane.lister@lancashire.gov.uk</w:t>
        </w:r>
      </w:hyperlink>
    </w:p>
    <w:tbl>
      <w:tblPr>
        <w:tblStyle w:val="TableGrid"/>
        <w:tblW w:w="0" w:type="auto"/>
        <w:tblLook w:val="04A0"/>
      </w:tblPr>
      <w:tblGrid>
        <w:gridCol w:w="9242"/>
      </w:tblGrid>
      <w:tr w:rsidR="00D6292B" w:rsidRPr="00D6292B" w:rsidTr="00D6292B">
        <w:tc>
          <w:tcPr>
            <w:tcW w:w="9242" w:type="dxa"/>
          </w:tcPr>
          <w:p w:rsidR="009D51DF" w:rsidRDefault="009D51DF" w:rsidP="00D6292B">
            <w:pPr>
              <w:rPr>
                <w:rFonts w:cs="Arial"/>
                <w:b/>
                <w:sz w:val="24"/>
                <w:szCs w:val="24"/>
              </w:rPr>
            </w:pPr>
          </w:p>
          <w:p w:rsidR="00D6292B" w:rsidRPr="00601FCA" w:rsidRDefault="00D6292B" w:rsidP="00D6292B">
            <w:pPr>
              <w:rPr>
                <w:rFonts w:cs="Arial"/>
                <w:b/>
                <w:sz w:val="24"/>
                <w:szCs w:val="24"/>
              </w:rPr>
            </w:pPr>
            <w:r w:rsidRPr="00601FCA">
              <w:rPr>
                <w:rFonts w:cs="Arial"/>
                <w:b/>
                <w:sz w:val="24"/>
                <w:szCs w:val="24"/>
              </w:rPr>
              <w:t>Executive Summary</w:t>
            </w:r>
          </w:p>
          <w:p w:rsidR="00D6292B" w:rsidRDefault="00D6292B" w:rsidP="00D6292B">
            <w:pPr>
              <w:rPr>
                <w:rFonts w:cs="Arial"/>
                <w:sz w:val="24"/>
                <w:szCs w:val="24"/>
              </w:rPr>
            </w:pPr>
          </w:p>
          <w:p w:rsidR="008D52B8" w:rsidRPr="008D52B8" w:rsidRDefault="008D52B8" w:rsidP="008D52B8">
            <w:pPr>
              <w:pStyle w:val="Default"/>
            </w:pPr>
            <w:r w:rsidRPr="008D52B8">
              <w:t xml:space="preserve">The Department for Communities and Local Government (DCLG) has issued a statutory consultation on draft regulations for the new Local Government Pension Scheme (LGPS) to come into force in April 2014. The consultation covers the core elements of the new scheme relating to membership, contributions and benefits. </w:t>
            </w:r>
          </w:p>
          <w:p w:rsidR="008D52B8" w:rsidRDefault="008D52B8" w:rsidP="008D52B8">
            <w:pPr>
              <w:pStyle w:val="Default"/>
            </w:pPr>
            <w:r w:rsidRPr="008D52B8">
              <w:t>This document sets out the key features of the consultation.</w:t>
            </w:r>
            <w:r>
              <w:t xml:space="preserve"> </w:t>
            </w:r>
            <w:r w:rsidRPr="008D52B8">
              <w:t xml:space="preserve">Responses to the consultation should be made by </w:t>
            </w:r>
            <w:r w:rsidRPr="008D52B8">
              <w:rPr>
                <w:b/>
                <w:bCs/>
              </w:rPr>
              <w:t>8 February 2013</w:t>
            </w:r>
            <w:r w:rsidRPr="008D52B8">
              <w:t xml:space="preserve">. </w:t>
            </w:r>
            <w:r>
              <w:t xml:space="preserve">The full details of the consultation can be found at Appendix </w:t>
            </w:r>
            <w:r w:rsidR="00B52F47">
              <w:t>'</w:t>
            </w:r>
            <w:r>
              <w:t>A</w:t>
            </w:r>
            <w:r w:rsidR="00B52F47">
              <w:t>'</w:t>
            </w:r>
            <w:r>
              <w:t>.</w:t>
            </w:r>
          </w:p>
          <w:p w:rsidR="008D52B8" w:rsidRPr="008D52B8" w:rsidRDefault="008D52B8" w:rsidP="008D52B8">
            <w:pPr>
              <w:pStyle w:val="Default"/>
            </w:pPr>
            <w:r>
              <w:t xml:space="preserve">  </w:t>
            </w:r>
            <w:r w:rsidRPr="008D52B8">
              <w:t xml:space="preserve"> </w:t>
            </w:r>
          </w:p>
          <w:p w:rsidR="008D52B8" w:rsidRDefault="008D52B8" w:rsidP="008D52B8">
            <w:pPr>
              <w:pStyle w:val="Default"/>
            </w:pPr>
            <w:r w:rsidRPr="008D52B8">
              <w:t xml:space="preserve">The Local Government Association and local government trades unions have previously consulted their respective memberships and other scheme interested parties on detailed proposals for a new scheme design. These informal consultations received overwhelming support and gave a clear mandate to take forward the proposed scheme design as the basis for this statutory consultation exercise. </w:t>
            </w:r>
          </w:p>
          <w:p w:rsidR="006D5BE3" w:rsidRDefault="006D5BE3" w:rsidP="008D52B8">
            <w:pPr>
              <w:pStyle w:val="Default"/>
            </w:pPr>
          </w:p>
          <w:p w:rsidR="003373E5" w:rsidRPr="008D52B8" w:rsidRDefault="006D5BE3" w:rsidP="003373E5">
            <w:pPr>
              <w:pStyle w:val="Default"/>
              <w:rPr>
                <w:color w:val="auto"/>
              </w:rPr>
            </w:pPr>
            <w:r>
              <w:t xml:space="preserve">A number of related proposals will give rise to further </w:t>
            </w:r>
            <w:r w:rsidRPr="008D52B8">
              <w:t>consultation exercise</w:t>
            </w:r>
            <w:r>
              <w:t>s during 2013. It is expected that these proposals will cove</w:t>
            </w:r>
            <w:r w:rsidRPr="008D52B8">
              <w:t>r outstanding proposals on governance, cost control and scheme administration; any provisions that are needed to ensure compatibility with the Public Service Pension Bill; and transitional provisions to take forward necessary protections, both existing and new.</w:t>
            </w:r>
            <w:r>
              <w:t xml:space="preserve"> A proposal to </w:t>
            </w:r>
            <w:r w:rsidR="003373E5" w:rsidRPr="008D52B8">
              <w:rPr>
                <w:color w:val="auto"/>
              </w:rPr>
              <w:t>remove access for councillors to the LGPS in England from April 2014</w:t>
            </w:r>
            <w:r w:rsidR="003373E5">
              <w:rPr>
                <w:color w:val="auto"/>
              </w:rPr>
              <w:t xml:space="preserve"> will also form the subject of consultation during 2013</w:t>
            </w:r>
            <w:r w:rsidR="003373E5" w:rsidRPr="008D52B8">
              <w:rPr>
                <w:color w:val="auto"/>
              </w:rPr>
              <w:t xml:space="preserve">. </w:t>
            </w:r>
          </w:p>
          <w:p w:rsidR="006D5BE3" w:rsidRDefault="006D5BE3" w:rsidP="006D5BE3">
            <w:pPr>
              <w:pStyle w:val="Default"/>
            </w:pPr>
          </w:p>
          <w:p w:rsidR="00601FCA" w:rsidRDefault="00601FCA" w:rsidP="00D6292B">
            <w:pPr>
              <w:autoSpaceDE w:val="0"/>
              <w:autoSpaceDN w:val="0"/>
              <w:adjustRightInd w:val="0"/>
              <w:rPr>
                <w:rFonts w:cs="Arial"/>
                <w:b/>
                <w:sz w:val="24"/>
                <w:szCs w:val="24"/>
              </w:rPr>
            </w:pPr>
            <w:r w:rsidRPr="00601FCA">
              <w:rPr>
                <w:rFonts w:cs="Arial"/>
                <w:b/>
                <w:sz w:val="24"/>
                <w:szCs w:val="24"/>
              </w:rPr>
              <w:t>Recommendation</w:t>
            </w:r>
          </w:p>
          <w:p w:rsidR="004B6DFC" w:rsidRPr="009D51DF" w:rsidRDefault="004B6DFC" w:rsidP="00D6292B">
            <w:pPr>
              <w:autoSpaceDE w:val="0"/>
              <w:autoSpaceDN w:val="0"/>
              <w:adjustRightInd w:val="0"/>
              <w:rPr>
                <w:rFonts w:cs="Arial"/>
                <w:b/>
                <w:sz w:val="24"/>
                <w:szCs w:val="24"/>
              </w:rPr>
            </w:pPr>
          </w:p>
          <w:p w:rsidR="00601FCA" w:rsidRPr="009D51DF" w:rsidRDefault="009D51DF" w:rsidP="009D51DF">
            <w:pPr>
              <w:autoSpaceDE w:val="0"/>
              <w:autoSpaceDN w:val="0"/>
              <w:adjustRightInd w:val="0"/>
              <w:rPr>
                <w:rFonts w:cs="Arial"/>
                <w:sz w:val="24"/>
                <w:szCs w:val="24"/>
              </w:rPr>
            </w:pPr>
            <w:r w:rsidRPr="009D51DF">
              <w:rPr>
                <w:sz w:val="24"/>
                <w:szCs w:val="24"/>
              </w:rPr>
              <w:t>1.</w:t>
            </w:r>
            <w:r w:rsidRPr="009D51DF">
              <w:rPr>
                <w:sz w:val="24"/>
                <w:szCs w:val="24"/>
              </w:rPr>
              <w:tab/>
            </w:r>
            <w:r w:rsidR="009E737F" w:rsidRPr="009D51DF">
              <w:rPr>
                <w:sz w:val="24"/>
                <w:szCs w:val="24"/>
              </w:rPr>
              <w:t xml:space="preserve">On the basis that previous informal consultations have received overwhelming </w:t>
            </w:r>
            <w:r w:rsidRPr="009D51DF">
              <w:rPr>
                <w:sz w:val="24"/>
                <w:szCs w:val="24"/>
              </w:rPr>
              <w:tab/>
            </w:r>
            <w:r w:rsidR="009E737F" w:rsidRPr="009D51DF">
              <w:rPr>
                <w:sz w:val="24"/>
                <w:szCs w:val="24"/>
              </w:rPr>
              <w:t>support, including support from Lancashire County Council, the Sub-</w:t>
            </w:r>
            <w:r>
              <w:rPr>
                <w:sz w:val="24"/>
                <w:szCs w:val="24"/>
              </w:rPr>
              <w:tab/>
            </w:r>
            <w:r w:rsidR="009E737F" w:rsidRPr="009D51DF">
              <w:rPr>
                <w:sz w:val="24"/>
                <w:szCs w:val="24"/>
              </w:rPr>
              <w:t xml:space="preserve">Committee is asked to agree a response indicating </w:t>
            </w:r>
            <w:r>
              <w:rPr>
                <w:sz w:val="24"/>
                <w:szCs w:val="24"/>
              </w:rPr>
              <w:t>its</w:t>
            </w:r>
            <w:r w:rsidR="009E737F" w:rsidRPr="009D51DF">
              <w:rPr>
                <w:sz w:val="24"/>
                <w:szCs w:val="24"/>
              </w:rPr>
              <w:t xml:space="preserve"> support for these </w:t>
            </w:r>
            <w:r>
              <w:rPr>
                <w:sz w:val="24"/>
                <w:szCs w:val="24"/>
              </w:rPr>
              <w:tab/>
            </w:r>
            <w:r w:rsidR="009E737F" w:rsidRPr="009D51DF">
              <w:rPr>
                <w:sz w:val="24"/>
                <w:szCs w:val="24"/>
              </w:rPr>
              <w:t xml:space="preserve">proposals. </w:t>
            </w:r>
            <w:r w:rsidR="004B6DFC" w:rsidRPr="009D51DF">
              <w:rPr>
                <w:rFonts w:cs="Arial"/>
                <w:sz w:val="24"/>
                <w:szCs w:val="24"/>
              </w:rPr>
              <w:t xml:space="preserve">  </w:t>
            </w:r>
          </w:p>
          <w:p w:rsidR="009D51DF" w:rsidRPr="009D51DF" w:rsidRDefault="009D51DF" w:rsidP="009D51DF">
            <w:pPr>
              <w:autoSpaceDE w:val="0"/>
              <w:autoSpaceDN w:val="0"/>
              <w:adjustRightInd w:val="0"/>
              <w:rPr>
                <w:rFonts w:cs="Arial"/>
                <w:sz w:val="24"/>
                <w:szCs w:val="24"/>
              </w:rPr>
            </w:pPr>
          </w:p>
          <w:p w:rsidR="003373E5" w:rsidRPr="009D51DF" w:rsidRDefault="009D51DF" w:rsidP="003373E5">
            <w:pPr>
              <w:autoSpaceDE w:val="0"/>
              <w:autoSpaceDN w:val="0"/>
              <w:adjustRightInd w:val="0"/>
              <w:rPr>
                <w:rFonts w:cs="Arial"/>
                <w:sz w:val="24"/>
                <w:szCs w:val="24"/>
              </w:rPr>
            </w:pPr>
            <w:r w:rsidRPr="009D51DF">
              <w:rPr>
                <w:rFonts w:cs="Arial"/>
                <w:sz w:val="24"/>
                <w:szCs w:val="24"/>
              </w:rPr>
              <w:t>2.</w:t>
            </w:r>
            <w:r w:rsidRPr="009D51DF">
              <w:rPr>
                <w:rFonts w:cs="Arial"/>
                <w:sz w:val="24"/>
                <w:szCs w:val="24"/>
              </w:rPr>
              <w:tab/>
            </w:r>
            <w:r w:rsidR="003373E5" w:rsidRPr="009D51DF">
              <w:rPr>
                <w:bCs/>
                <w:sz w:val="24"/>
                <w:szCs w:val="24"/>
              </w:rPr>
              <w:t>The Sub-Committee is also asked to note a number of related proposals</w:t>
            </w:r>
            <w:r>
              <w:rPr>
                <w:bCs/>
                <w:sz w:val="24"/>
                <w:szCs w:val="24"/>
              </w:rPr>
              <w:t xml:space="preserve">, as </w:t>
            </w:r>
            <w:r>
              <w:rPr>
                <w:bCs/>
                <w:sz w:val="24"/>
                <w:szCs w:val="24"/>
              </w:rPr>
              <w:tab/>
              <w:t>set out in the report</w:t>
            </w:r>
            <w:r w:rsidR="003373E5" w:rsidRPr="009D51DF">
              <w:rPr>
                <w:bCs/>
                <w:sz w:val="24"/>
                <w:szCs w:val="24"/>
              </w:rPr>
              <w:t xml:space="preserve">. </w:t>
            </w:r>
          </w:p>
          <w:p w:rsidR="00D6292B" w:rsidRPr="00D6292B" w:rsidRDefault="00D6292B" w:rsidP="00D6292B">
            <w:pPr>
              <w:rPr>
                <w:rFonts w:cs="Arial"/>
                <w:sz w:val="24"/>
                <w:szCs w:val="24"/>
              </w:rPr>
            </w:pPr>
          </w:p>
        </w:tc>
      </w:tr>
    </w:tbl>
    <w:p w:rsidR="009D51DF" w:rsidRDefault="009D51DF" w:rsidP="009D51DF">
      <w:pPr>
        <w:spacing w:after="0"/>
        <w:rPr>
          <w:b/>
        </w:rPr>
      </w:pPr>
    </w:p>
    <w:p w:rsidR="000640D7" w:rsidRDefault="000640D7" w:rsidP="009D51DF">
      <w:pPr>
        <w:spacing w:after="0"/>
        <w:rPr>
          <w:b/>
        </w:rPr>
      </w:pPr>
    </w:p>
    <w:p w:rsidR="000640D7" w:rsidRDefault="000640D7" w:rsidP="009D51DF">
      <w:pPr>
        <w:spacing w:after="0"/>
        <w:rPr>
          <w:b/>
        </w:rPr>
      </w:pPr>
    </w:p>
    <w:p w:rsidR="000640D7" w:rsidRDefault="000640D7" w:rsidP="000640D7">
      <w:pPr>
        <w:spacing w:after="0" w:line="240" w:lineRule="auto"/>
        <w:rPr>
          <w:b/>
        </w:rPr>
        <w:sectPr w:rsidR="000640D7" w:rsidSect="008E7D3C">
          <w:footerReference w:type="default" r:id="rId8"/>
          <w:pgSz w:w="11906" w:h="16838"/>
          <w:pgMar w:top="1440" w:right="1440" w:bottom="567" w:left="1440" w:header="708" w:footer="708" w:gutter="0"/>
          <w:cols w:space="708"/>
          <w:docGrid w:linePitch="360"/>
        </w:sectPr>
      </w:pPr>
    </w:p>
    <w:p w:rsidR="00D6292B" w:rsidRDefault="00601FCA" w:rsidP="000640D7">
      <w:pPr>
        <w:spacing w:after="0" w:line="240" w:lineRule="auto"/>
        <w:rPr>
          <w:b/>
        </w:rPr>
      </w:pPr>
      <w:r w:rsidRPr="00601FCA">
        <w:rPr>
          <w:b/>
        </w:rPr>
        <w:lastRenderedPageBreak/>
        <w:t>Background</w:t>
      </w:r>
      <w:r w:rsidR="000640D7">
        <w:rPr>
          <w:b/>
        </w:rPr>
        <w:t xml:space="preserve"> and Advice</w:t>
      </w:r>
    </w:p>
    <w:p w:rsidR="009D51DF" w:rsidRDefault="009D51DF" w:rsidP="000640D7">
      <w:pPr>
        <w:spacing w:after="0" w:line="240" w:lineRule="auto"/>
        <w:rPr>
          <w:b/>
        </w:rPr>
      </w:pPr>
    </w:p>
    <w:p w:rsidR="008D52B8" w:rsidRPr="008D52B8" w:rsidRDefault="008D52B8" w:rsidP="000640D7">
      <w:pPr>
        <w:pStyle w:val="Default"/>
      </w:pPr>
      <w:r w:rsidRPr="008D52B8">
        <w:t xml:space="preserve">The Department for Communities and Local Government (DCLG) has issued a statutory consultation on draft regulations for the new Local Government Pension Scheme (LGPS) to come into force in April 2014. The consultation covers the core elements of the new scheme relating to membership, contributions and benefits. </w:t>
      </w:r>
    </w:p>
    <w:p w:rsidR="008D52B8" w:rsidRDefault="008D52B8" w:rsidP="008D52B8">
      <w:pPr>
        <w:pStyle w:val="Default"/>
      </w:pPr>
      <w:r w:rsidRPr="008D52B8">
        <w:t>This document sets out the key features of the consultation.</w:t>
      </w:r>
      <w:r>
        <w:t xml:space="preserve"> </w:t>
      </w:r>
      <w:r w:rsidRPr="008D52B8">
        <w:t xml:space="preserve">Responses to the consultation should be made by </w:t>
      </w:r>
      <w:r w:rsidRPr="008D52B8">
        <w:rPr>
          <w:b/>
          <w:bCs/>
        </w:rPr>
        <w:t>8 February 2013</w:t>
      </w:r>
      <w:r w:rsidRPr="008D52B8">
        <w:t xml:space="preserve">. </w:t>
      </w:r>
      <w:r>
        <w:t xml:space="preserve">The full details of the consultation can be found at Appendix </w:t>
      </w:r>
      <w:r w:rsidR="00B52F47">
        <w:t>'</w:t>
      </w:r>
      <w:r>
        <w:t>A</w:t>
      </w:r>
      <w:r w:rsidR="00B52F47">
        <w:t>'</w:t>
      </w:r>
      <w:r>
        <w:t>.</w:t>
      </w:r>
    </w:p>
    <w:p w:rsidR="008D52B8" w:rsidRPr="008D52B8" w:rsidRDefault="008D52B8" w:rsidP="008D52B8">
      <w:pPr>
        <w:pStyle w:val="Default"/>
      </w:pPr>
      <w:r>
        <w:t xml:space="preserve">  </w:t>
      </w:r>
      <w:r w:rsidRPr="008D52B8">
        <w:t xml:space="preserve"> </w:t>
      </w:r>
    </w:p>
    <w:p w:rsidR="008D52B8" w:rsidRDefault="008D52B8" w:rsidP="008D52B8">
      <w:pPr>
        <w:pStyle w:val="Default"/>
      </w:pPr>
      <w:r w:rsidRPr="008D52B8">
        <w:t xml:space="preserve">A second consultation exercise to cover the remainder of the new scheme will follow. This will cover outstanding proposals on governance, cost control and scheme administration; any provisions that are needed to ensure compatibility with the Public Service Pension Bill; and transitional provisions to take forward necessary protections, both existing and new. </w:t>
      </w:r>
    </w:p>
    <w:p w:rsidR="008D52B8" w:rsidRPr="008D52B8" w:rsidRDefault="008D52B8" w:rsidP="008D52B8">
      <w:pPr>
        <w:pStyle w:val="Default"/>
      </w:pPr>
    </w:p>
    <w:p w:rsidR="008D52B8" w:rsidRDefault="008D52B8" w:rsidP="008D52B8">
      <w:pPr>
        <w:pStyle w:val="Default"/>
      </w:pPr>
      <w:r w:rsidRPr="008D52B8">
        <w:t xml:space="preserve">The Local Government Association and local government trades unions have previously consulted their respective memberships and other scheme interested parties on detailed proposals for a new scheme design. These informal consultations received overwhelming support and gave a clear mandate to take forward the proposed scheme design as the basis for this statutory consultation exercise. </w:t>
      </w:r>
    </w:p>
    <w:p w:rsidR="008D52B8" w:rsidRPr="008D52B8" w:rsidRDefault="008D52B8" w:rsidP="008D52B8">
      <w:pPr>
        <w:pStyle w:val="Default"/>
      </w:pPr>
    </w:p>
    <w:p w:rsidR="008D52B8" w:rsidRDefault="008D52B8" w:rsidP="008D52B8">
      <w:pPr>
        <w:pStyle w:val="Default"/>
      </w:pPr>
      <w:r w:rsidRPr="008D52B8">
        <w:rPr>
          <w:b/>
          <w:bCs/>
        </w:rPr>
        <w:t xml:space="preserve">The main elements of the new scheme in the consultation </w:t>
      </w:r>
      <w:r w:rsidR="00052001">
        <w:rPr>
          <w:b/>
          <w:bCs/>
        </w:rPr>
        <w:t xml:space="preserve">are: </w:t>
      </w:r>
      <w:r>
        <w:rPr>
          <w:b/>
          <w:bCs/>
        </w:rPr>
        <w:t xml:space="preserve"> </w:t>
      </w:r>
      <w:r>
        <w:br/>
      </w:r>
    </w:p>
    <w:p w:rsidR="008D52B8" w:rsidRPr="008D52B8" w:rsidRDefault="008D52B8" w:rsidP="00E84E97">
      <w:pPr>
        <w:pStyle w:val="Default"/>
        <w:numPr>
          <w:ilvl w:val="0"/>
          <w:numId w:val="11"/>
        </w:numPr>
        <w:spacing w:after="157"/>
      </w:pPr>
      <w:r w:rsidRPr="008D52B8">
        <w:t xml:space="preserve">A start date for the reformed LGPS of April 2014 with core elements of the new scheme regulations in place by Spring 2013. </w:t>
      </w:r>
    </w:p>
    <w:p w:rsidR="008D52B8" w:rsidRDefault="008D52B8" w:rsidP="008D52B8">
      <w:pPr>
        <w:pStyle w:val="Default"/>
        <w:numPr>
          <w:ilvl w:val="0"/>
          <w:numId w:val="8"/>
        </w:numPr>
        <w:spacing w:after="157"/>
      </w:pPr>
      <w:r w:rsidRPr="008D52B8">
        <w:t xml:space="preserve">A pension scheme design based on career average with an accrual rate of 1/49th of pensionable earnings each year. </w:t>
      </w:r>
    </w:p>
    <w:p w:rsidR="008D52B8" w:rsidRPr="008D52B8" w:rsidRDefault="008D52B8" w:rsidP="008D52B8">
      <w:pPr>
        <w:pStyle w:val="Default"/>
        <w:numPr>
          <w:ilvl w:val="0"/>
          <w:numId w:val="8"/>
        </w:numPr>
        <w:spacing w:after="157"/>
      </w:pPr>
      <w:r w:rsidRPr="008D52B8">
        <w:t xml:space="preserve">Revaluation of active members’ benefits to be in line with a price index (currently Consumer Prices Index). </w:t>
      </w:r>
    </w:p>
    <w:p w:rsidR="008D52B8" w:rsidRPr="008D52B8" w:rsidRDefault="008D52B8" w:rsidP="008D52B8">
      <w:pPr>
        <w:pStyle w:val="Default"/>
        <w:numPr>
          <w:ilvl w:val="0"/>
          <w:numId w:val="8"/>
        </w:numPr>
        <w:spacing w:after="157"/>
      </w:pPr>
      <w:r w:rsidRPr="008D52B8">
        <w:t xml:space="preserve">Scheme normal pension age to be equal to the state pension age for both active members and deferred members (new scheme service only). If a member’s state pension age rises, then normal pension age will do so too for all post-2014 service. </w:t>
      </w:r>
    </w:p>
    <w:p w:rsidR="008D52B8" w:rsidRPr="008D52B8" w:rsidRDefault="008D52B8" w:rsidP="008D52B8">
      <w:pPr>
        <w:pStyle w:val="Default"/>
        <w:numPr>
          <w:ilvl w:val="0"/>
          <w:numId w:val="8"/>
        </w:numPr>
        <w:spacing w:after="157"/>
      </w:pPr>
      <w:r w:rsidRPr="008D52B8">
        <w:t xml:space="preserve">The earliest point at which retirement benefits can be taken is age 55. The latest point at which retirement benefits can be </w:t>
      </w:r>
      <w:r w:rsidR="00FB20AF">
        <w:t xml:space="preserve">taken </w:t>
      </w:r>
      <w:r w:rsidRPr="008D52B8">
        <w:t xml:space="preserve">is on reaching age 75. In cases of both “early” and “late” </w:t>
      </w:r>
      <w:r w:rsidR="00FB20AF">
        <w:t xml:space="preserve">retirement </w:t>
      </w:r>
      <w:r w:rsidRPr="008D52B8">
        <w:t xml:space="preserve">the appropriate actuarial reduction or increase will be made – except that there is no reduction in cases of redundancy or where employers exercise their </w:t>
      </w:r>
      <w:r w:rsidR="00FB20AF">
        <w:t xml:space="preserve">right to </w:t>
      </w:r>
      <w:r w:rsidRPr="008D52B8">
        <w:t>waiver</w:t>
      </w:r>
      <w:r w:rsidR="00FB20AF">
        <w:t xml:space="preserve"> reductions</w:t>
      </w:r>
      <w:r w:rsidRPr="008D52B8">
        <w:t xml:space="preserve">. </w:t>
      </w:r>
    </w:p>
    <w:p w:rsidR="008D52B8" w:rsidRDefault="008D52B8" w:rsidP="008D52B8">
      <w:pPr>
        <w:pStyle w:val="Default"/>
        <w:numPr>
          <w:ilvl w:val="0"/>
          <w:numId w:val="8"/>
        </w:numPr>
        <w:spacing w:after="157"/>
      </w:pPr>
      <w:r w:rsidRPr="008D52B8">
        <w:t xml:space="preserve">There continues to be a provision for flexible retirement from age 55 onward. </w:t>
      </w:r>
    </w:p>
    <w:p w:rsidR="008D52B8" w:rsidRPr="008D52B8" w:rsidRDefault="008D52B8" w:rsidP="008D52B8">
      <w:pPr>
        <w:pStyle w:val="Default"/>
        <w:numPr>
          <w:ilvl w:val="0"/>
          <w:numId w:val="8"/>
        </w:numPr>
        <w:spacing w:after="157"/>
      </w:pPr>
      <w:r w:rsidRPr="008D52B8">
        <w:t xml:space="preserve">Ill-health retirement pensions </w:t>
      </w:r>
      <w:r w:rsidR="00FB20AF">
        <w:t xml:space="preserve">continue </w:t>
      </w:r>
      <w:r w:rsidRPr="008D52B8">
        <w:t xml:space="preserve">to be based on the current ill-health retirement arrangements. </w:t>
      </w:r>
    </w:p>
    <w:p w:rsidR="008D52B8" w:rsidRPr="008D52B8" w:rsidRDefault="008D52B8" w:rsidP="008D52B8">
      <w:pPr>
        <w:pStyle w:val="Default"/>
        <w:numPr>
          <w:ilvl w:val="0"/>
          <w:numId w:val="8"/>
        </w:numPr>
        <w:spacing w:after="158"/>
        <w:rPr>
          <w:color w:val="auto"/>
        </w:rPr>
      </w:pPr>
      <w:r w:rsidRPr="008D52B8">
        <w:rPr>
          <w:color w:val="auto"/>
        </w:rPr>
        <w:t xml:space="preserve">Optional lump sum commutation </w:t>
      </w:r>
      <w:r w:rsidR="00FB20AF">
        <w:rPr>
          <w:color w:val="auto"/>
        </w:rPr>
        <w:t>continues a</w:t>
      </w:r>
      <w:r w:rsidRPr="008D52B8">
        <w:rPr>
          <w:color w:val="auto"/>
        </w:rPr>
        <w:t xml:space="preserve">t a rate of £12 of lump sum for every £1 of annual pension given up. </w:t>
      </w:r>
    </w:p>
    <w:p w:rsidR="008D52B8" w:rsidRPr="008D52B8" w:rsidRDefault="008D52B8" w:rsidP="008D52B8">
      <w:pPr>
        <w:pStyle w:val="Default"/>
        <w:numPr>
          <w:ilvl w:val="0"/>
          <w:numId w:val="8"/>
        </w:numPr>
        <w:spacing w:after="158"/>
        <w:rPr>
          <w:color w:val="auto"/>
        </w:rPr>
      </w:pPr>
      <w:r w:rsidRPr="008D52B8">
        <w:rPr>
          <w:color w:val="auto"/>
        </w:rPr>
        <w:t xml:space="preserve">Pensions in payment and deferred benefits to increase in line with a price index (currently Consumer Prices Index). </w:t>
      </w:r>
    </w:p>
    <w:p w:rsidR="008D52B8" w:rsidRPr="008D52B8" w:rsidRDefault="008D52B8" w:rsidP="008D52B8">
      <w:pPr>
        <w:pStyle w:val="Default"/>
        <w:numPr>
          <w:ilvl w:val="0"/>
          <w:numId w:val="8"/>
        </w:numPr>
        <w:spacing w:after="158"/>
        <w:rPr>
          <w:color w:val="auto"/>
        </w:rPr>
      </w:pPr>
      <w:r w:rsidRPr="008D52B8">
        <w:rPr>
          <w:color w:val="auto"/>
        </w:rPr>
        <w:lastRenderedPageBreak/>
        <w:t>An average member contribution</w:t>
      </w:r>
      <w:r w:rsidR="00FB20AF">
        <w:rPr>
          <w:color w:val="auto"/>
        </w:rPr>
        <w:t xml:space="preserve"> rate</w:t>
      </w:r>
      <w:r w:rsidRPr="008D52B8">
        <w:rPr>
          <w:color w:val="auto"/>
        </w:rPr>
        <w:t xml:space="preserve"> of 6.5%</w:t>
      </w:r>
      <w:r w:rsidR="00FB20AF">
        <w:rPr>
          <w:color w:val="auto"/>
        </w:rPr>
        <w:t xml:space="preserve"> will apply</w:t>
      </w:r>
      <w:r w:rsidRPr="008D52B8">
        <w:rPr>
          <w:color w:val="auto"/>
        </w:rPr>
        <w:t xml:space="preserve">, as now, with tiered contributions. </w:t>
      </w:r>
      <w:r w:rsidR="00FB20AF">
        <w:rPr>
          <w:color w:val="auto"/>
        </w:rPr>
        <w:t>However, h</w:t>
      </w:r>
      <w:r w:rsidRPr="008D52B8">
        <w:rPr>
          <w:color w:val="auto"/>
        </w:rPr>
        <w:t xml:space="preserve">igher earners </w:t>
      </w:r>
      <w:r w:rsidR="00FB20AF">
        <w:rPr>
          <w:color w:val="auto"/>
        </w:rPr>
        <w:t xml:space="preserve">will </w:t>
      </w:r>
      <w:r w:rsidRPr="008D52B8">
        <w:rPr>
          <w:color w:val="auto"/>
        </w:rPr>
        <w:t xml:space="preserve">pay a higher proportion of their earnings in contributions than </w:t>
      </w:r>
      <w:r w:rsidR="00FB20AF">
        <w:rPr>
          <w:color w:val="auto"/>
        </w:rPr>
        <w:t xml:space="preserve">their </w:t>
      </w:r>
      <w:r w:rsidRPr="008D52B8">
        <w:rPr>
          <w:color w:val="auto"/>
        </w:rPr>
        <w:t>lower</w:t>
      </w:r>
      <w:r w:rsidR="00FB20AF">
        <w:rPr>
          <w:color w:val="auto"/>
        </w:rPr>
        <w:t xml:space="preserve"> </w:t>
      </w:r>
      <w:r w:rsidRPr="008D52B8">
        <w:rPr>
          <w:color w:val="auto"/>
        </w:rPr>
        <w:t xml:space="preserve">earning colleagues. </w:t>
      </w:r>
    </w:p>
    <w:p w:rsidR="008D52B8" w:rsidRPr="008D52B8" w:rsidRDefault="008D52B8" w:rsidP="008D52B8">
      <w:pPr>
        <w:pStyle w:val="Default"/>
        <w:numPr>
          <w:ilvl w:val="0"/>
          <w:numId w:val="8"/>
        </w:numPr>
        <w:spacing w:after="158"/>
        <w:rPr>
          <w:color w:val="auto"/>
        </w:rPr>
      </w:pPr>
      <w:r w:rsidRPr="008D52B8">
        <w:rPr>
          <w:color w:val="auto"/>
        </w:rPr>
        <w:t xml:space="preserve">A low cost option - allowing member’s to pay 50% contributions building up 50% of main benefits. </w:t>
      </w:r>
    </w:p>
    <w:p w:rsidR="008D52B8" w:rsidRPr="008D52B8" w:rsidRDefault="008D52B8" w:rsidP="008D52B8">
      <w:pPr>
        <w:pStyle w:val="Default"/>
        <w:numPr>
          <w:ilvl w:val="0"/>
          <w:numId w:val="8"/>
        </w:numPr>
        <w:spacing w:after="158"/>
        <w:rPr>
          <w:color w:val="auto"/>
        </w:rPr>
      </w:pPr>
      <w:r w:rsidRPr="008D52B8">
        <w:rPr>
          <w:color w:val="auto"/>
        </w:rPr>
        <w:t xml:space="preserve">A vesting period of two years. </w:t>
      </w:r>
    </w:p>
    <w:p w:rsidR="008D52B8" w:rsidRPr="008D52B8" w:rsidRDefault="008D52B8" w:rsidP="008D52B8">
      <w:pPr>
        <w:pStyle w:val="Default"/>
        <w:numPr>
          <w:ilvl w:val="0"/>
          <w:numId w:val="8"/>
        </w:numPr>
        <w:rPr>
          <w:color w:val="auto"/>
        </w:rPr>
      </w:pPr>
      <w:r w:rsidRPr="008D52B8">
        <w:rPr>
          <w:color w:val="auto"/>
        </w:rPr>
        <w:t xml:space="preserve">Spouse and partner pensions to continue to be based on an accrual rate of 1/160 and three times death in service benefit. </w:t>
      </w:r>
    </w:p>
    <w:p w:rsidR="008D52B8" w:rsidRPr="008D52B8" w:rsidRDefault="008D52B8" w:rsidP="008D52B8">
      <w:pPr>
        <w:pStyle w:val="Default"/>
        <w:rPr>
          <w:color w:val="auto"/>
        </w:rPr>
      </w:pPr>
    </w:p>
    <w:p w:rsidR="008D52B8" w:rsidRPr="008D52B8" w:rsidRDefault="008D52B8" w:rsidP="008D52B8">
      <w:pPr>
        <w:pStyle w:val="Default"/>
        <w:rPr>
          <w:color w:val="auto"/>
        </w:rPr>
      </w:pPr>
      <w:r>
        <w:rPr>
          <w:b/>
          <w:bCs/>
          <w:color w:val="auto"/>
        </w:rPr>
        <w:t>There are a number of t</w:t>
      </w:r>
      <w:r w:rsidRPr="008D52B8">
        <w:rPr>
          <w:b/>
          <w:bCs/>
          <w:color w:val="auto"/>
        </w:rPr>
        <w:t>ransitional protection</w:t>
      </w:r>
      <w:r>
        <w:rPr>
          <w:b/>
          <w:bCs/>
          <w:color w:val="auto"/>
        </w:rPr>
        <w:t xml:space="preserve">s as follows: - </w:t>
      </w:r>
      <w:r>
        <w:rPr>
          <w:b/>
          <w:bCs/>
          <w:color w:val="auto"/>
        </w:rPr>
        <w:br/>
      </w:r>
      <w:r w:rsidRPr="008D52B8">
        <w:rPr>
          <w:b/>
          <w:bCs/>
          <w:color w:val="auto"/>
        </w:rPr>
        <w:t xml:space="preserve"> </w:t>
      </w:r>
    </w:p>
    <w:p w:rsidR="008D52B8" w:rsidRPr="008D52B8" w:rsidRDefault="008D52B8" w:rsidP="008D52B8">
      <w:pPr>
        <w:pStyle w:val="Default"/>
        <w:numPr>
          <w:ilvl w:val="0"/>
          <w:numId w:val="8"/>
        </w:numPr>
        <w:spacing w:after="157"/>
        <w:rPr>
          <w:color w:val="auto"/>
        </w:rPr>
      </w:pPr>
      <w:r w:rsidRPr="008D52B8">
        <w:rPr>
          <w:color w:val="auto"/>
        </w:rPr>
        <w:t xml:space="preserve">All accrued rights are protected and benefits built up to April 2014 will be linked to final salary when members leave the scheme. </w:t>
      </w:r>
    </w:p>
    <w:p w:rsidR="008D52B8" w:rsidRPr="008D52B8" w:rsidRDefault="008D52B8" w:rsidP="008D52B8">
      <w:pPr>
        <w:pStyle w:val="Default"/>
        <w:numPr>
          <w:ilvl w:val="0"/>
          <w:numId w:val="8"/>
        </w:numPr>
        <w:spacing w:after="157"/>
        <w:rPr>
          <w:color w:val="auto"/>
        </w:rPr>
      </w:pPr>
      <w:r w:rsidRPr="008D52B8">
        <w:rPr>
          <w:color w:val="auto"/>
        </w:rPr>
        <w:t xml:space="preserve">There will be a protected underpin for members aged 57 to 59. </w:t>
      </w:r>
    </w:p>
    <w:p w:rsidR="008D52B8" w:rsidRPr="008D52B8" w:rsidRDefault="008D52B8" w:rsidP="008D52B8">
      <w:pPr>
        <w:pStyle w:val="Default"/>
        <w:numPr>
          <w:ilvl w:val="0"/>
          <w:numId w:val="8"/>
        </w:numPr>
        <w:rPr>
          <w:color w:val="auto"/>
        </w:rPr>
      </w:pPr>
      <w:r w:rsidRPr="008D52B8">
        <w:rPr>
          <w:color w:val="auto"/>
        </w:rPr>
        <w:t xml:space="preserve">Rule of 85 protection as in the current scheme. </w:t>
      </w:r>
    </w:p>
    <w:p w:rsidR="008D52B8" w:rsidRDefault="008D52B8" w:rsidP="008D52B8">
      <w:pPr>
        <w:pStyle w:val="Default"/>
        <w:rPr>
          <w:color w:val="auto"/>
        </w:rPr>
      </w:pPr>
    </w:p>
    <w:p w:rsidR="006D5BE3" w:rsidRDefault="006D5BE3" w:rsidP="009D51DF">
      <w:pPr>
        <w:autoSpaceDE w:val="0"/>
        <w:autoSpaceDN w:val="0"/>
        <w:adjustRightInd w:val="0"/>
        <w:spacing w:after="0" w:line="240" w:lineRule="auto"/>
        <w:rPr>
          <w:rFonts w:cs="Arial"/>
          <w:szCs w:val="24"/>
        </w:rPr>
      </w:pPr>
      <w:r>
        <w:rPr>
          <w:szCs w:val="24"/>
        </w:rPr>
        <w:t xml:space="preserve">These main elements of the new scheme design reflect the proposals put forward previously within informal consultation. Therefore, on the basis that previous </w:t>
      </w:r>
      <w:r w:rsidRPr="008D52B8">
        <w:rPr>
          <w:szCs w:val="24"/>
        </w:rPr>
        <w:t xml:space="preserve">informal consultations </w:t>
      </w:r>
      <w:r>
        <w:rPr>
          <w:szCs w:val="24"/>
        </w:rPr>
        <w:t xml:space="preserve">have </w:t>
      </w:r>
      <w:r w:rsidRPr="008D52B8">
        <w:rPr>
          <w:szCs w:val="24"/>
        </w:rPr>
        <w:t>received overwhelming support</w:t>
      </w:r>
      <w:r>
        <w:rPr>
          <w:szCs w:val="24"/>
        </w:rPr>
        <w:t>, including support from Lancashire County Council, the Sub-Committee is asked to agree a response indicating their support for these proposals</w:t>
      </w:r>
      <w:r w:rsidRPr="00423FF1">
        <w:rPr>
          <w:szCs w:val="24"/>
        </w:rPr>
        <w:t xml:space="preserve">. </w:t>
      </w:r>
      <w:r w:rsidRPr="00423FF1">
        <w:rPr>
          <w:rFonts w:cs="Arial"/>
          <w:szCs w:val="24"/>
        </w:rPr>
        <w:t xml:space="preserve"> </w:t>
      </w:r>
      <w:r w:rsidR="00FC7AE9" w:rsidRPr="00423FF1">
        <w:rPr>
          <w:rFonts w:cs="Arial"/>
          <w:szCs w:val="24"/>
        </w:rPr>
        <w:t xml:space="preserve">It should be noted that this consultation asks that practitioners </w:t>
      </w:r>
      <w:r w:rsidR="00D27F9E" w:rsidRPr="00423FF1">
        <w:rPr>
          <w:rFonts w:cs="Arial"/>
          <w:szCs w:val="24"/>
        </w:rPr>
        <w:t xml:space="preserve">provided </w:t>
      </w:r>
      <w:r w:rsidR="00FC7AE9" w:rsidRPr="00423FF1">
        <w:rPr>
          <w:rFonts w:cs="Arial"/>
          <w:szCs w:val="24"/>
        </w:rPr>
        <w:t xml:space="preserve">comments </w:t>
      </w:r>
      <w:r w:rsidR="00D27F9E" w:rsidRPr="00423FF1">
        <w:rPr>
          <w:rFonts w:cs="Arial"/>
          <w:szCs w:val="24"/>
        </w:rPr>
        <w:t>o</w:t>
      </w:r>
      <w:r w:rsidR="00FC7AE9" w:rsidRPr="00423FF1">
        <w:rPr>
          <w:rFonts w:cs="Arial"/>
          <w:szCs w:val="24"/>
        </w:rPr>
        <w:t>n a number of technical areas and th</w:t>
      </w:r>
      <w:r w:rsidR="00D27F9E" w:rsidRPr="00423FF1">
        <w:rPr>
          <w:rFonts w:cs="Arial"/>
          <w:szCs w:val="24"/>
        </w:rPr>
        <w:t xml:space="preserve">erefore any </w:t>
      </w:r>
      <w:r w:rsidR="00FC7AE9" w:rsidRPr="00423FF1">
        <w:rPr>
          <w:rFonts w:cs="Arial"/>
          <w:szCs w:val="24"/>
        </w:rPr>
        <w:t>response from the Fund w</w:t>
      </w:r>
      <w:r w:rsidR="00D27F9E" w:rsidRPr="00423FF1">
        <w:rPr>
          <w:rFonts w:cs="Arial"/>
          <w:szCs w:val="24"/>
        </w:rPr>
        <w:t xml:space="preserve">ould also </w:t>
      </w:r>
      <w:r w:rsidR="00FC7AE9" w:rsidRPr="00423FF1">
        <w:rPr>
          <w:rFonts w:cs="Arial"/>
          <w:szCs w:val="24"/>
        </w:rPr>
        <w:t xml:space="preserve">contain </w:t>
      </w:r>
      <w:r w:rsidR="00D27F9E" w:rsidRPr="00423FF1">
        <w:rPr>
          <w:rFonts w:cs="Arial"/>
          <w:szCs w:val="24"/>
        </w:rPr>
        <w:t xml:space="preserve">a </w:t>
      </w:r>
      <w:r w:rsidR="00FC7AE9" w:rsidRPr="00423FF1">
        <w:rPr>
          <w:rFonts w:cs="Arial"/>
          <w:szCs w:val="24"/>
        </w:rPr>
        <w:t>detailed commentary</w:t>
      </w:r>
      <w:r w:rsidR="00D27F9E" w:rsidRPr="00423FF1">
        <w:rPr>
          <w:rFonts w:cs="Arial"/>
          <w:szCs w:val="24"/>
        </w:rPr>
        <w:t>.</w:t>
      </w:r>
      <w:r w:rsidR="00FC7AE9" w:rsidRPr="00423FF1">
        <w:rPr>
          <w:rFonts w:cs="Arial"/>
          <w:szCs w:val="24"/>
        </w:rPr>
        <w:t xml:space="preserve">  </w:t>
      </w:r>
      <w:r w:rsidRPr="00423FF1">
        <w:rPr>
          <w:rFonts w:cs="Arial"/>
          <w:szCs w:val="24"/>
        </w:rPr>
        <w:t xml:space="preserve"> </w:t>
      </w:r>
    </w:p>
    <w:p w:rsidR="009D51DF" w:rsidRPr="00423FF1" w:rsidRDefault="009D51DF" w:rsidP="009D51DF">
      <w:pPr>
        <w:autoSpaceDE w:val="0"/>
        <w:autoSpaceDN w:val="0"/>
        <w:adjustRightInd w:val="0"/>
        <w:spacing w:after="0" w:line="240" w:lineRule="auto"/>
        <w:rPr>
          <w:rFonts w:cs="Arial"/>
          <w:szCs w:val="24"/>
        </w:rPr>
      </w:pPr>
    </w:p>
    <w:p w:rsidR="008D52B8" w:rsidRPr="006D5BE3" w:rsidRDefault="006D5BE3" w:rsidP="008D52B8">
      <w:pPr>
        <w:pStyle w:val="Default"/>
        <w:rPr>
          <w:bCs/>
          <w:color w:val="auto"/>
        </w:rPr>
      </w:pPr>
      <w:r w:rsidRPr="00423FF1">
        <w:rPr>
          <w:bCs/>
          <w:color w:val="auto"/>
        </w:rPr>
        <w:t xml:space="preserve">The </w:t>
      </w:r>
      <w:r w:rsidR="003373E5" w:rsidRPr="00423FF1">
        <w:rPr>
          <w:bCs/>
          <w:color w:val="auto"/>
        </w:rPr>
        <w:t>Sub-</w:t>
      </w:r>
      <w:r w:rsidRPr="00423FF1">
        <w:rPr>
          <w:bCs/>
          <w:color w:val="auto"/>
        </w:rPr>
        <w:t xml:space="preserve">Committee </w:t>
      </w:r>
      <w:r w:rsidR="003373E5" w:rsidRPr="00423FF1">
        <w:rPr>
          <w:bCs/>
          <w:color w:val="auto"/>
        </w:rPr>
        <w:t xml:space="preserve">is also </w:t>
      </w:r>
      <w:r w:rsidRPr="00423FF1">
        <w:rPr>
          <w:bCs/>
          <w:color w:val="auto"/>
        </w:rPr>
        <w:t>asked to note a numbe</w:t>
      </w:r>
      <w:r w:rsidR="008D52B8" w:rsidRPr="00423FF1">
        <w:rPr>
          <w:bCs/>
          <w:color w:val="auto"/>
        </w:rPr>
        <w:t xml:space="preserve">r of related proposals: </w:t>
      </w:r>
    </w:p>
    <w:p w:rsidR="008D52B8" w:rsidRPr="006D5BE3" w:rsidRDefault="008D52B8" w:rsidP="008D52B8">
      <w:pPr>
        <w:pStyle w:val="Default"/>
        <w:rPr>
          <w:bCs/>
          <w:color w:val="auto"/>
        </w:rPr>
      </w:pPr>
    </w:p>
    <w:p w:rsidR="008D52B8" w:rsidRPr="008D52B8" w:rsidRDefault="008D52B8" w:rsidP="008D52B8">
      <w:pPr>
        <w:pStyle w:val="Default"/>
        <w:rPr>
          <w:color w:val="auto"/>
        </w:rPr>
      </w:pPr>
      <w:r w:rsidRPr="008D52B8">
        <w:rPr>
          <w:b/>
          <w:bCs/>
          <w:color w:val="auto"/>
        </w:rPr>
        <w:t xml:space="preserve">Councillor’s pensions </w:t>
      </w:r>
      <w:r>
        <w:rPr>
          <w:b/>
          <w:bCs/>
          <w:color w:val="auto"/>
        </w:rPr>
        <w:br/>
      </w:r>
    </w:p>
    <w:p w:rsidR="008D52B8" w:rsidRPr="008D52B8" w:rsidRDefault="009E737F" w:rsidP="008D52B8">
      <w:pPr>
        <w:pStyle w:val="Default"/>
        <w:rPr>
          <w:color w:val="auto"/>
        </w:rPr>
      </w:pPr>
      <w:r>
        <w:rPr>
          <w:color w:val="auto"/>
        </w:rPr>
        <w:t xml:space="preserve">Following an announcement from </w:t>
      </w:r>
      <w:r w:rsidR="008D52B8" w:rsidRPr="008D52B8">
        <w:rPr>
          <w:color w:val="auto"/>
        </w:rPr>
        <w:t>DCLG</w:t>
      </w:r>
      <w:r w:rsidR="006D5BE3">
        <w:rPr>
          <w:color w:val="auto"/>
        </w:rPr>
        <w:t xml:space="preserve"> on 19 December 2012</w:t>
      </w:r>
      <w:r>
        <w:rPr>
          <w:color w:val="auto"/>
        </w:rPr>
        <w:t xml:space="preserve">, </w:t>
      </w:r>
      <w:r w:rsidR="008D52B8" w:rsidRPr="008D52B8">
        <w:rPr>
          <w:color w:val="auto"/>
        </w:rPr>
        <w:t>a separate consultation paper setting out the intention to remove access for councillors to the LGPS in England from April 2014</w:t>
      </w:r>
      <w:r>
        <w:rPr>
          <w:color w:val="auto"/>
        </w:rPr>
        <w:t xml:space="preserve"> will be issued in due course</w:t>
      </w:r>
      <w:r w:rsidR="008D52B8" w:rsidRPr="008D52B8">
        <w:rPr>
          <w:color w:val="auto"/>
        </w:rPr>
        <w:t xml:space="preserve">. </w:t>
      </w:r>
    </w:p>
    <w:p w:rsidR="008D52B8" w:rsidRDefault="008D52B8" w:rsidP="008D52B8">
      <w:pPr>
        <w:pStyle w:val="Default"/>
        <w:rPr>
          <w:b/>
          <w:bCs/>
          <w:color w:val="auto"/>
        </w:rPr>
      </w:pPr>
    </w:p>
    <w:p w:rsidR="008D52B8" w:rsidRPr="008D52B8" w:rsidRDefault="008D52B8" w:rsidP="008D52B8">
      <w:pPr>
        <w:pStyle w:val="Default"/>
        <w:rPr>
          <w:color w:val="auto"/>
        </w:rPr>
      </w:pPr>
      <w:r w:rsidRPr="008D52B8">
        <w:rPr>
          <w:b/>
          <w:bCs/>
          <w:color w:val="auto"/>
        </w:rPr>
        <w:t xml:space="preserve">Cost control </w:t>
      </w:r>
      <w:r>
        <w:rPr>
          <w:b/>
          <w:bCs/>
          <w:color w:val="auto"/>
        </w:rPr>
        <w:br/>
      </w:r>
    </w:p>
    <w:p w:rsidR="008D52B8" w:rsidRPr="008D52B8" w:rsidRDefault="006D5BE3" w:rsidP="008D52B8">
      <w:pPr>
        <w:pStyle w:val="Default"/>
        <w:rPr>
          <w:color w:val="auto"/>
        </w:rPr>
      </w:pPr>
      <w:r>
        <w:rPr>
          <w:color w:val="auto"/>
        </w:rPr>
        <w:t xml:space="preserve">Proposals on how to </w:t>
      </w:r>
      <w:r w:rsidR="008D52B8" w:rsidRPr="008D52B8">
        <w:rPr>
          <w:color w:val="auto"/>
        </w:rPr>
        <w:t>manage future cost risks</w:t>
      </w:r>
      <w:r>
        <w:rPr>
          <w:color w:val="auto"/>
        </w:rPr>
        <w:t xml:space="preserve"> have been agreed in principle between the LGA and Trades Unions. A</w:t>
      </w:r>
      <w:r w:rsidR="008D52B8" w:rsidRPr="008D52B8">
        <w:rPr>
          <w:color w:val="auto"/>
        </w:rPr>
        <w:t xml:space="preserve"> second set of draft regulations will include provisions to take forward th</w:t>
      </w:r>
      <w:r>
        <w:rPr>
          <w:color w:val="auto"/>
        </w:rPr>
        <w:t>ese proposals</w:t>
      </w:r>
      <w:r w:rsidR="008D52B8" w:rsidRPr="008D52B8">
        <w:rPr>
          <w:color w:val="auto"/>
        </w:rPr>
        <w:t xml:space="preserve">.  </w:t>
      </w:r>
    </w:p>
    <w:p w:rsidR="008D52B8" w:rsidRDefault="008D52B8" w:rsidP="008D52B8">
      <w:pPr>
        <w:pStyle w:val="Default"/>
        <w:rPr>
          <w:b/>
          <w:bCs/>
          <w:color w:val="auto"/>
        </w:rPr>
      </w:pPr>
    </w:p>
    <w:p w:rsidR="008D52B8" w:rsidRPr="008D52B8" w:rsidRDefault="008D52B8" w:rsidP="008D52B8">
      <w:pPr>
        <w:pStyle w:val="Default"/>
        <w:rPr>
          <w:color w:val="auto"/>
        </w:rPr>
      </w:pPr>
      <w:r w:rsidRPr="008D52B8">
        <w:rPr>
          <w:b/>
          <w:bCs/>
          <w:color w:val="auto"/>
        </w:rPr>
        <w:t xml:space="preserve">Governance </w:t>
      </w:r>
      <w:r>
        <w:rPr>
          <w:b/>
          <w:bCs/>
          <w:color w:val="auto"/>
        </w:rPr>
        <w:br/>
      </w:r>
    </w:p>
    <w:p w:rsidR="00040826" w:rsidRDefault="008D52B8" w:rsidP="00807845">
      <w:pPr>
        <w:spacing w:after="0" w:line="240" w:lineRule="auto"/>
        <w:rPr>
          <w:szCs w:val="24"/>
        </w:rPr>
      </w:pPr>
      <w:r w:rsidRPr="008D52B8">
        <w:rPr>
          <w:szCs w:val="24"/>
        </w:rPr>
        <w:t xml:space="preserve">Ministers are fully committed to establishing a National Advisory Board for the LGPS which, amongst other things, will allow employers, trades unions and other scheme interests to effectively manage the ongoing costs of the scheme design via </w:t>
      </w:r>
      <w:r w:rsidR="006D5BE3">
        <w:rPr>
          <w:szCs w:val="24"/>
        </w:rPr>
        <w:t xml:space="preserve">an </w:t>
      </w:r>
      <w:r w:rsidRPr="008D52B8">
        <w:rPr>
          <w:szCs w:val="24"/>
        </w:rPr>
        <w:t xml:space="preserve">agreed cost control arrangement. Discussions about the precise role, composition and scope of the proposed Board are ongoing but DCLG’s intention remains to issue further details, followed by a consultation on draft regulations, as soon as possible in </w:t>
      </w:r>
      <w:r w:rsidR="006D5BE3">
        <w:rPr>
          <w:szCs w:val="24"/>
        </w:rPr>
        <w:t>2013</w:t>
      </w:r>
      <w:r w:rsidRPr="008D52B8">
        <w:rPr>
          <w:szCs w:val="24"/>
        </w:rPr>
        <w:t>.</w:t>
      </w:r>
    </w:p>
    <w:p w:rsidR="009D51DF" w:rsidRDefault="009D51DF" w:rsidP="00807845">
      <w:pPr>
        <w:spacing w:after="0" w:line="240" w:lineRule="auto"/>
        <w:rPr>
          <w:szCs w:val="24"/>
        </w:rPr>
      </w:pPr>
    </w:p>
    <w:p w:rsidR="00052001" w:rsidRDefault="00052001" w:rsidP="00807845">
      <w:pPr>
        <w:pStyle w:val="CommentText"/>
        <w:spacing w:after="0"/>
        <w:rPr>
          <w:sz w:val="24"/>
          <w:szCs w:val="24"/>
        </w:rPr>
      </w:pPr>
      <w:r w:rsidRPr="00052001">
        <w:rPr>
          <w:sz w:val="24"/>
          <w:szCs w:val="24"/>
        </w:rPr>
        <w:lastRenderedPageBreak/>
        <w:t>Further reports on these proposals will be presented as appropriate</w:t>
      </w:r>
      <w:r>
        <w:rPr>
          <w:sz w:val="24"/>
          <w:szCs w:val="24"/>
        </w:rPr>
        <w:t>.</w:t>
      </w:r>
    </w:p>
    <w:p w:rsidR="00807845" w:rsidRPr="00052001" w:rsidRDefault="00807845" w:rsidP="00807845">
      <w:pPr>
        <w:pStyle w:val="CommentText"/>
        <w:spacing w:after="0"/>
        <w:rPr>
          <w:sz w:val="24"/>
          <w:szCs w:val="24"/>
        </w:rPr>
      </w:pPr>
    </w:p>
    <w:p w:rsidR="00D27F9E" w:rsidRDefault="00D27F9E" w:rsidP="00807845">
      <w:pPr>
        <w:pStyle w:val="Heading1"/>
      </w:pPr>
      <w:r>
        <w:t>Consultations</w:t>
      </w:r>
    </w:p>
    <w:p w:rsidR="00D27F9E" w:rsidRDefault="00D27F9E" w:rsidP="00D27F9E">
      <w:pPr>
        <w:pStyle w:val="Header"/>
      </w:pPr>
    </w:p>
    <w:p w:rsidR="00D27F9E" w:rsidRDefault="00D27F9E" w:rsidP="00D27F9E">
      <w:r>
        <w:t>N/A</w:t>
      </w:r>
    </w:p>
    <w:p w:rsidR="00D27F9E" w:rsidRDefault="00D27F9E" w:rsidP="00D27F9E">
      <w:r>
        <w:rPr>
          <w:b/>
        </w:rPr>
        <w:t>Implications</w:t>
      </w:r>
      <w:r>
        <w:t xml:space="preserve">: </w:t>
      </w:r>
    </w:p>
    <w:p w:rsidR="000640D7" w:rsidRDefault="000640D7" w:rsidP="00D27F9E">
      <w:r>
        <w:t>This item has the following implications, as indicated</w:t>
      </w:r>
    </w:p>
    <w:p w:rsidR="00D27F9E" w:rsidRPr="00092B2F" w:rsidRDefault="00D27F9E" w:rsidP="00D27F9E">
      <w:pPr>
        <w:rPr>
          <w:b/>
        </w:rPr>
      </w:pPr>
      <w:r w:rsidRPr="00092B2F">
        <w:rPr>
          <w:b/>
        </w:rPr>
        <w:t>Risk management</w:t>
      </w:r>
    </w:p>
    <w:p w:rsidR="00D27F9E" w:rsidRPr="009627E7" w:rsidRDefault="009D51DF" w:rsidP="00D27F9E">
      <w:pPr>
        <w:rPr>
          <w:szCs w:val="24"/>
        </w:rPr>
      </w:pPr>
      <w:r>
        <w:rPr>
          <w:szCs w:val="24"/>
        </w:rPr>
        <w:t>No significant risks have been identified.</w:t>
      </w:r>
    </w:p>
    <w:p w:rsidR="00D27F9E" w:rsidRDefault="00D27F9E" w:rsidP="00D27F9E">
      <w:pPr>
        <w:pStyle w:val="Heading5"/>
        <w:rPr>
          <w:rFonts w:ascii="Arial" w:hAnsi="Arial"/>
          <w:u w:val="none"/>
        </w:rPr>
      </w:pPr>
      <w:r>
        <w:rPr>
          <w:rFonts w:ascii="Arial" w:hAnsi="Arial"/>
          <w:u w:val="none"/>
        </w:rPr>
        <w:t>Local Government (Access to Information) Act 1985</w:t>
      </w:r>
    </w:p>
    <w:p w:rsidR="00D27F9E" w:rsidRDefault="00D27F9E" w:rsidP="00D27F9E">
      <w:pPr>
        <w:pStyle w:val="Heading5"/>
        <w:rPr>
          <w:rFonts w:ascii="Arial" w:hAnsi="Arial"/>
          <w:u w:val="none"/>
        </w:rPr>
      </w:pPr>
      <w:r>
        <w:rPr>
          <w:rFonts w:ascii="Arial" w:hAnsi="Arial"/>
          <w:u w:val="none"/>
        </w:rPr>
        <w:t>List of Background Papers</w:t>
      </w:r>
    </w:p>
    <w:p w:rsidR="00D27F9E" w:rsidRDefault="00D27F9E" w:rsidP="009D51DF">
      <w:pPr>
        <w:spacing w:after="0"/>
      </w:pPr>
    </w:p>
    <w:tbl>
      <w:tblPr>
        <w:tblW w:w="0" w:type="auto"/>
        <w:tblLayout w:type="fixed"/>
        <w:tblLook w:val="000C"/>
      </w:tblPr>
      <w:tblGrid>
        <w:gridCol w:w="3227"/>
        <w:gridCol w:w="2775"/>
        <w:gridCol w:w="3178"/>
      </w:tblGrid>
      <w:tr w:rsidR="00D27F9E" w:rsidTr="00050E74">
        <w:tc>
          <w:tcPr>
            <w:tcW w:w="3227" w:type="dxa"/>
          </w:tcPr>
          <w:p w:rsidR="00D27F9E" w:rsidRDefault="00D27F9E" w:rsidP="009D51DF">
            <w:pPr>
              <w:pStyle w:val="Heading7"/>
              <w:rPr>
                <w:rFonts w:ascii="Arial" w:hAnsi="Arial"/>
                <w:u w:val="none"/>
              </w:rPr>
            </w:pPr>
            <w:r>
              <w:rPr>
                <w:rFonts w:ascii="Arial" w:hAnsi="Arial"/>
                <w:u w:val="none"/>
              </w:rPr>
              <w:t>Paper</w:t>
            </w:r>
          </w:p>
        </w:tc>
        <w:tc>
          <w:tcPr>
            <w:tcW w:w="2775" w:type="dxa"/>
          </w:tcPr>
          <w:p w:rsidR="00D27F9E" w:rsidRDefault="00D27F9E" w:rsidP="009D51DF">
            <w:pPr>
              <w:pStyle w:val="Heading7"/>
              <w:rPr>
                <w:rFonts w:ascii="Arial" w:hAnsi="Arial"/>
                <w:u w:val="none"/>
              </w:rPr>
            </w:pPr>
            <w:r>
              <w:rPr>
                <w:rFonts w:ascii="Arial" w:hAnsi="Arial"/>
                <w:u w:val="none"/>
              </w:rPr>
              <w:t>Date</w:t>
            </w:r>
          </w:p>
        </w:tc>
        <w:tc>
          <w:tcPr>
            <w:tcW w:w="3178" w:type="dxa"/>
          </w:tcPr>
          <w:p w:rsidR="00D27F9E" w:rsidRDefault="00D27F9E" w:rsidP="009D51DF">
            <w:pPr>
              <w:pStyle w:val="Heading7"/>
              <w:rPr>
                <w:rFonts w:ascii="Arial" w:hAnsi="Arial"/>
                <w:u w:val="none"/>
              </w:rPr>
            </w:pPr>
            <w:r>
              <w:rPr>
                <w:rFonts w:ascii="Arial" w:hAnsi="Arial"/>
                <w:u w:val="none"/>
              </w:rPr>
              <w:t>Contact/Directorate/Tel</w:t>
            </w:r>
          </w:p>
        </w:tc>
      </w:tr>
      <w:tr w:rsidR="00D27F9E" w:rsidTr="00050E74">
        <w:tc>
          <w:tcPr>
            <w:tcW w:w="3227" w:type="dxa"/>
          </w:tcPr>
          <w:p w:rsidR="00D27F9E" w:rsidRDefault="00D27F9E" w:rsidP="009D51DF">
            <w:pPr>
              <w:spacing w:after="0"/>
            </w:pPr>
          </w:p>
          <w:p w:rsidR="00D27F9E" w:rsidRDefault="00D27F9E" w:rsidP="009D51DF">
            <w:pPr>
              <w:spacing w:after="0"/>
            </w:pPr>
            <w:r>
              <w:t>N/A</w:t>
            </w:r>
          </w:p>
        </w:tc>
        <w:tc>
          <w:tcPr>
            <w:tcW w:w="2775" w:type="dxa"/>
          </w:tcPr>
          <w:p w:rsidR="00D27F9E" w:rsidRDefault="00D27F9E" w:rsidP="009D51DF">
            <w:pPr>
              <w:spacing w:after="0"/>
            </w:pPr>
          </w:p>
        </w:tc>
        <w:tc>
          <w:tcPr>
            <w:tcW w:w="3178" w:type="dxa"/>
          </w:tcPr>
          <w:p w:rsidR="00D27F9E" w:rsidRDefault="00D27F9E" w:rsidP="009D51DF">
            <w:pPr>
              <w:spacing w:after="0"/>
            </w:pPr>
          </w:p>
        </w:tc>
      </w:tr>
      <w:tr w:rsidR="00D27F9E" w:rsidTr="00050E74">
        <w:tc>
          <w:tcPr>
            <w:tcW w:w="9180" w:type="dxa"/>
            <w:gridSpan w:val="3"/>
          </w:tcPr>
          <w:p w:rsidR="00D27F9E" w:rsidRDefault="00D27F9E" w:rsidP="009D51DF">
            <w:pPr>
              <w:spacing w:after="0"/>
            </w:pPr>
          </w:p>
          <w:p w:rsidR="00D27F9E" w:rsidRDefault="00D27F9E" w:rsidP="009D51DF">
            <w:pPr>
              <w:spacing w:after="0"/>
            </w:pPr>
            <w:r>
              <w:t>Reason for inclusion in Part II, if appropriate</w:t>
            </w:r>
          </w:p>
          <w:p w:rsidR="00D27F9E" w:rsidRDefault="00D27F9E" w:rsidP="009D51DF">
            <w:pPr>
              <w:spacing w:after="0"/>
            </w:pPr>
          </w:p>
          <w:p w:rsidR="00D27F9E" w:rsidRDefault="00D27F9E" w:rsidP="009D51DF">
            <w:pPr>
              <w:spacing w:after="0"/>
            </w:pPr>
            <w:r>
              <w:t>N/A</w:t>
            </w:r>
          </w:p>
        </w:tc>
      </w:tr>
    </w:tbl>
    <w:p w:rsidR="00D27F9E" w:rsidRPr="008D52B8" w:rsidRDefault="00D27F9E" w:rsidP="009D51DF">
      <w:pPr>
        <w:spacing w:after="0"/>
        <w:rPr>
          <w:rFonts w:cs="Arial"/>
          <w:b/>
          <w:szCs w:val="24"/>
        </w:rPr>
      </w:pPr>
    </w:p>
    <w:sectPr w:rsidR="00D27F9E" w:rsidRPr="008D52B8" w:rsidSect="008E7D3C">
      <w:footerReference w:type="default" r:id="rId9"/>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D7" w:rsidRDefault="000640D7" w:rsidP="000640D7">
      <w:pPr>
        <w:spacing w:after="0" w:line="240" w:lineRule="auto"/>
      </w:pPr>
      <w:r>
        <w:separator/>
      </w:r>
    </w:p>
  </w:endnote>
  <w:endnote w:type="continuationSeparator" w:id="0">
    <w:p w:rsidR="000640D7" w:rsidRDefault="000640D7" w:rsidP="000640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D7" w:rsidRDefault="000640D7" w:rsidP="000640D7">
    <w:pPr>
      <w:pStyle w:val="Footer"/>
      <w:jc w:val="right"/>
    </w:pPr>
    <w:r>
      <w:rPr>
        <w:noProof/>
        <w:lang w:eastAsia="en-GB"/>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D7" w:rsidRDefault="000640D7" w:rsidP="000640D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D7" w:rsidRDefault="000640D7" w:rsidP="000640D7">
      <w:pPr>
        <w:spacing w:after="0" w:line="240" w:lineRule="auto"/>
      </w:pPr>
      <w:r>
        <w:separator/>
      </w:r>
    </w:p>
  </w:footnote>
  <w:footnote w:type="continuationSeparator" w:id="0">
    <w:p w:rsidR="000640D7" w:rsidRDefault="000640D7" w:rsidP="000640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BAA"/>
    <w:multiLevelType w:val="hybridMultilevel"/>
    <w:tmpl w:val="A1C0E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F6183"/>
    <w:multiLevelType w:val="hybridMultilevel"/>
    <w:tmpl w:val="5246A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5C0F6D"/>
    <w:multiLevelType w:val="hybridMultilevel"/>
    <w:tmpl w:val="138896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3233164E"/>
    <w:multiLevelType w:val="hybridMultilevel"/>
    <w:tmpl w:val="F0BE4746"/>
    <w:lvl w:ilvl="0" w:tplc="08090001">
      <w:start w:val="1"/>
      <w:numFmt w:val="bullet"/>
      <w:lvlText w:val=""/>
      <w:lvlJc w:val="left"/>
      <w:pPr>
        <w:ind w:left="720" w:hanging="360"/>
      </w:pPr>
      <w:rPr>
        <w:rFonts w:ascii="Symbol" w:hAnsi="Symbol" w:hint="default"/>
      </w:rPr>
    </w:lvl>
    <w:lvl w:ilvl="1" w:tplc="BAFA879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0C09E7"/>
    <w:multiLevelType w:val="hybridMultilevel"/>
    <w:tmpl w:val="274870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48343548"/>
    <w:multiLevelType w:val="hybridMultilevel"/>
    <w:tmpl w:val="8690AC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5AD85C8B"/>
    <w:multiLevelType w:val="hybridMultilevel"/>
    <w:tmpl w:val="9A1C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944EA"/>
    <w:multiLevelType w:val="hybridMultilevel"/>
    <w:tmpl w:val="19E6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1E5769"/>
    <w:multiLevelType w:val="hybridMultilevel"/>
    <w:tmpl w:val="21D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0DA31EF"/>
    <w:multiLevelType w:val="hybridMultilevel"/>
    <w:tmpl w:val="A722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4650EC"/>
    <w:multiLevelType w:val="hybridMultilevel"/>
    <w:tmpl w:val="5A3C1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9"/>
  </w:num>
  <w:num w:numId="5">
    <w:abstractNumId w:val="10"/>
  </w:num>
  <w:num w:numId="6">
    <w:abstractNumId w:val="0"/>
  </w:num>
  <w:num w:numId="7">
    <w:abstractNumId w:val="2"/>
  </w:num>
  <w:num w:numId="8">
    <w:abstractNumId w:val="4"/>
  </w:num>
  <w:num w:numId="9">
    <w:abstractNumId w:val="7"/>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6292B"/>
    <w:rsid w:val="00040826"/>
    <w:rsid w:val="00052001"/>
    <w:rsid w:val="000640D7"/>
    <w:rsid w:val="0008075F"/>
    <w:rsid w:val="001209DC"/>
    <w:rsid w:val="00194560"/>
    <w:rsid w:val="001C714B"/>
    <w:rsid w:val="001E2EF8"/>
    <w:rsid w:val="001F64B6"/>
    <w:rsid w:val="00213BA7"/>
    <w:rsid w:val="00246E25"/>
    <w:rsid w:val="002567A6"/>
    <w:rsid w:val="00295D0E"/>
    <w:rsid w:val="003373E5"/>
    <w:rsid w:val="00387554"/>
    <w:rsid w:val="003A05A4"/>
    <w:rsid w:val="003F7E86"/>
    <w:rsid w:val="00423FF1"/>
    <w:rsid w:val="00475D79"/>
    <w:rsid w:val="004B6DFC"/>
    <w:rsid w:val="004C6B9B"/>
    <w:rsid w:val="00597DB9"/>
    <w:rsid w:val="005A5B4E"/>
    <w:rsid w:val="00601FCA"/>
    <w:rsid w:val="00613C2F"/>
    <w:rsid w:val="00617E51"/>
    <w:rsid w:val="0069457F"/>
    <w:rsid w:val="006A1511"/>
    <w:rsid w:val="006A60EE"/>
    <w:rsid w:val="006D5BE3"/>
    <w:rsid w:val="00807845"/>
    <w:rsid w:val="008563FC"/>
    <w:rsid w:val="00891252"/>
    <w:rsid w:val="008921A0"/>
    <w:rsid w:val="008D2033"/>
    <w:rsid w:val="008D52B8"/>
    <w:rsid w:val="008E7D3C"/>
    <w:rsid w:val="00913041"/>
    <w:rsid w:val="009A1CE6"/>
    <w:rsid w:val="009A33CA"/>
    <w:rsid w:val="009A5077"/>
    <w:rsid w:val="009D51DF"/>
    <w:rsid w:val="009E737F"/>
    <w:rsid w:val="009F0084"/>
    <w:rsid w:val="00AC2CF9"/>
    <w:rsid w:val="00AD226B"/>
    <w:rsid w:val="00AE234A"/>
    <w:rsid w:val="00B52455"/>
    <w:rsid w:val="00B52F47"/>
    <w:rsid w:val="00B95975"/>
    <w:rsid w:val="00BD7733"/>
    <w:rsid w:val="00CC684E"/>
    <w:rsid w:val="00D27F9E"/>
    <w:rsid w:val="00D6292B"/>
    <w:rsid w:val="00D91984"/>
    <w:rsid w:val="00DC774A"/>
    <w:rsid w:val="00DF3392"/>
    <w:rsid w:val="00E16E97"/>
    <w:rsid w:val="00E84E97"/>
    <w:rsid w:val="00F138C8"/>
    <w:rsid w:val="00F9528E"/>
    <w:rsid w:val="00FA7390"/>
    <w:rsid w:val="00FB20AF"/>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A0"/>
    <w:rPr>
      <w:rFonts w:ascii="Arial" w:hAnsi="Arial"/>
      <w:sz w:val="24"/>
    </w:rPr>
  </w:style>
  <w:style w:type="paragraph" w:styleId="Heading1">
    <w:name w:val="heading 1"/>
    <w:basedOn w:val="Normal"/>
    <w:next w:val="Normal"/>
    <w:link w:val="Heading1Char"/>
    <w:qFormat/>
    <w:rsid w:val="00D27F9E"/>
    <w:pPr>
      <w:keepNext/>
      <w:spacing w:after="0" w:line="240" w:lineRule="auto"/>
      <w:outlineLvl w:val="0"/>
    </w:pPr>
    <w:rPr>
      <w:rFonts w:eastAsia="Times New Roman" w:cs="Times New Roman"/>
      <w:b/>
      <w:szCs w:val="20"/>
      <w:lang w:eastAsia="en-GB"/>
    </w:rPr>
  </w:style>
  <w:style w:type="paragraph" w:styleId="Heading5">
    <w:name w:val="heading 5"/>
    <w:basedOn w:val="Normal"/>
    <w:next w:val="Normal"/>
    <w:link w:val="Heading5Char"/>
    <w:qFormat/>
    <w:rsid w:val="00D27F9E"/>
    <w:pPr>
      <w:keepNext/>
      <w:spacing w:after="0" w:line="240" w:lineRule="auto"/>
      <w:outlineLvl w:val="4"/>
    </w:pPr>
    <w:rPr>
      <w:rFonts w:ascii="Univers" w:eastAsia="Times New Roman" w:hAnsi="Univers" w:cs="Times New Roman"/>
      <w:b/>
      <w:szCs w:val="20"/>
      <w:u w:val="single"/>
      <w:lang w:eastAsia="en-GB"/>
    </w:rPr>
  </w:style>
  <w:style w:type="paragraph" w:styleId="Heading7">
    <w:name w:val="heading 7"/>
    <w:basedOn w:val="Normal"/>
    <w:next w:val="Normal"/>
    <w:link w:val="Heading7Char"/>
    <w:qFormat/>
    <w:rsid w:val="00D27F9E"/>
    <w:pPr>
      <w:keepNext/>
      <w:spacing w:after="0" w:line="240" w:lineRule="auto"/>
      <w:outlineLvl w:val="6"/>
    </w:pPr>
    <w:rPr>
      <w:rFonts w:ascii="Univers" w:eastAsia="Times New Roman" w:hAnsi="Univers" w:cs="Times New Roman"/>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1FCA"/>
    <w:pPr>
      <w:ind w:left="720"/>
      <w:contextualSpacing/>
    </w:pPr>
  </w:style>
  <w:style w:type="paragraph" w:customStyle="1" w:styleId="Instructiontext">
    <w:name w:val="Instruction text"/>
    <w:basedOn w:val="Normal"/>
    <w:uiPriority w:val="2"/>
    <w:qFormat/>
    <w:rsid w:val="001C714B"/>
    <w:pPr>
      <w:autoSpaceDE w:val="0"/>
      <w:autoSpaceDN w:val="0"/>
      <w:adjustRightInd w:val="0"/>
      <w:spacing w:after="0" w:line="240" w:lineRule="auto"/>
      <w:jc w:val="both"/>
    </w:pPr>
    <w:rPr>
      <w:rFonts w:eastAsia="Times New Roman" w:cs="Helvetica-Light"/>
      <w:i/>
      <w:color w:val="FF0000"/>
      <w:sz w:val="22"/>
      <w:lang w:eastAsia="en-GB"/>
    </w:rPr>
  </w:style>
  <w:style w:type="paragraph" w:customStyle="1" w:styleId="Default">
    <w:name w:val="Default"/>
    <w:rsid w:val="008D52B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27F9E"/>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D27F9E"/>
    <w:rPr>
      <w:rFonts w:ascii="Univers" w:eastAsia="Times New Roman" w:hAnsi="Univers" w:cs="Times New Roman"/>
      <w:b/>
      <w:sz w:val="24"/>
      <w:szCs w:val="20"/>
      <w:u w:val="single"/>
      <w:lang w:eastAsia="en-GB"/>
    </w:rPr>
  </w:style>
  <w:style w:type="character" w:customStyle="1" w:styleId="Heading7Char">
    <w:name w:val="Heading 7 Char"/>
    <w:basedOn w:val="DefaultParagraphFont"/>
    <w:link w:val="Heading7"/>
    <w:rsid w:val="00D27F9E"/>
    <w:rPr>
      <w:rFonts w:ascii="Univers" w:eastAsia="Times New Roman" w:hAnsi="Univers" w:cs="Times New Roman"/>
      <w:sz w:val="24"/>
      <w:szCs w:val="20"/>
      <w:u w:val="single"/>
      <w:lang w:eastAsia="en-GB"/>
    </w:rPr>
  </w:style>
  <w:style w:type="paragraph" w:styleId="Header">
    <w:name w:val="header"/>
    <w:basedOn w:val="Normal"/>
    <w:link w:val="HeaderChar"/>
    <w:rsid w:val="00D27F9E"/>
    <w:pPr>
      <w:spacing w:after="0" w:line="240" w:lineRule="auto"/>
    </w:pPr>
    <w:rPr>
      <w:rFonts w:eastAsia="Times New Roman" w:cs="Times New Roman"/>
      <w:szCs w:val="20"/>
      <w:lang w:eastAsia="en-GB"/>
    </w:rPr>
  </w:style>
  <w:style w:type="character" w:customStyle="1" w:styleId="HeaderChar">
    <w:name w:val="Header Char"/>
    <w:basedOn w:val="DefaultParagraphFont"/>
    <w:link w:val="Header"/>
    <w:rsid w:val="00D27F9E"/>
    <w:rPr>
      <w:rFonts w:ascii="Arial" w:eastAsia="Times New Roman" w:hAnsi="Arial" w:cs="Times New Roman"/>
      <w:sz w:val="24"/>
      <w:szCs w:val="20"/>
      <w:lang w:eastAsia="en-GB"/>
    </w:rPr>
  </w:style>
  <w:style w:type="character" w:styleId="CommentReference">
    <w:name w:val="annotation reference"/>
    <w:basedOn w:val="DefaultParagraphFont"/>
    <w:uiPriority w:val="99"/>
    <w:semiHidden/>
    <w:unhideWhenUsed/>
    <w:rsid w:val="00052001"/>
    <w:rPr>
      <w:sz w:val="16"/>
      <w:szCs w:val="16"/>
    </w:rPr>
  </w:style>
  <w:style w:type="paragraph" w:styleId="CommentText">
    <w:name w:val="annotation text"/>
    <w:basedOn w:val="Normal"/>
    <w:link w:val="CommentTextChar"/>
    <w:uiPriority w:val="99"/>
    <w:semiHidden/>
    <w:unhideWhenUsed/>
    <w:rsid w:val="00052001"/>
    <w:pPr>
      <w:spacing w:line="240" w:lineRule="auto"/>
    </w:pPr>
    <w:rPr>
      <w:sz w:val="20"/>
      <w:szCs w:val="20"/>
    </w:rPr>
  </w:style>
  <w:style w:type="character" w:customStyle="1" w:styleId="CommentTextChar">
    <w:name w:val="Comment Text Char"/>
    <w:basedOn w:val="DefaultParagraphFont"/>
    <w:link w:val="CommentText"/>
    <w:uiPriority w:val="99"/>
    <w:semiHidden/>
    <w:rsid w:val="0005200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2001"/>
    <w:rPr>
      <w:b/>
      <w:bCs/>
    </w:rPr>
  </w:style>
  <w:style w:type="character" w:customStyle="1" w:styleId="CommentSubjectChar">
    <w:name w:val="Comment Subject Char"/>
    <w:basedOn w:val="CommentTextChar"/>
    <w:link w:val="CommentSubject"/>
    <w:uiPriority w:val="99"/>
    <w:semiHidden/>
    <w:rsid w:val="00052001"/>
    <w:rPr>
      <w:b/>
      <w:bCs/>
    </w:rPr>
  </w:style>
  <w:style w:type="paragraph" w:styleId="BalloonText">
    <w:name w:val="Balloon Text"/>
    <w:basedOn w:val="Normal"/>
    <w:link w:val="BalloonTextChar"/>
    <w:uiPriority w:val="99"/>
    <w:semiHidden/>
    <w:unhideWhenUsed/>
    <w:rsid w:val="0005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001"/>
    <w:rPr>
      <w:rFonts w:ascii="Tahoma" w:hAnsi="Tahoma" w:cs="Tahoma"/>
      <w:sz w:val="16"/>
      <w:szCs w:val="16"/>
    </w:rPr>
  </w:style>
  <w:style w:type="character" w:styleId="Hyperlink">
    <w:name w:val="Hyperlink"/>
    <w:basedOn w:val="DefaultParagraphFont"/>
    <w:uiPriority w:val="99"/>
    <w:unhideWhenUsed/>
    <w:rsid w:val="00052001"/>
    <w:rPr>
      <w:color w:val="0000FF" w:themeColor="hyperlink"/>
      <w:u w:val="single"/>
    </w:rPr>
  </w:style>
  <w:style w:type="paragraph" w:styleId="Footer">
    <w:name w:val="footer"/>
    <w:basedOn w:val="Normal"/>
    <w:link w:val="FooterChar"/>
    <w:uiPriority w:val="99"/>
    <w:semiHidden/>
    <w:unhideWhenUsed/>
    <w:rsid w:val="000640D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0D7"/>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ane.lister@lanca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2013-01-23T11:02:00Z</dcterms:created>
  <dcterms:modified xsi:type="dcterms:W3CDTF">2013-01-28T09:47:00Z</dcterms:modified>
</cp:coreProperties>
</file>